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mc:AlternateContent>
          <mc:Choice Requires="wps">
            <w:drawing>
              <wp:anchor behindDoc="0" distT="0" distB="0" distL="114300" distR="114300" simplePos="0" locked="0" layoutInCell="1" allowOverlap="1" relativeHeight="3" wp14:anchorId="1F3CC922">
                <wp:simplePos x="0" y="0"/>
                <wp:positionH relativeFrom="column">
                  <wp:posOffset>-25400</wp:posOffset>
                </wp:positionH>
                <wp:positionV relativeFrom="paragraph">
                  <wp:posOffset>-120015</wp:posOffset>
                </wp:positionV>
                <wp:extent cx="5586095" cy="934085"/>
                <wp:effectExtent l="0" t="0" r="0" b="0"/>
                <wp:wrapNone/>
                <wp:docPr id="1" name="Textové pole 1"/>
                <a:graphic xmlns:a="http://schemas.openxmlformats.org/drawingml/2006/main">
                  <a:graphicData uri="http://schemas.microsoft.com/office/word/2010/wordprocessingShape">
                    <wps:wsp>
                      <wps:cNvSpPr/>
                      <wps:spPr>
                        <a:xfrm>
                          <a:off x="0" y="0"/>
                          <a:ext cx="5585400" cy="933480"/>
                        </a:xfrm>
                        <a:prstGeom prst="rect">
                          <a:avLst/>
                        </a:prstGeom>
                        <a:noFill/>
                        <a:ln>
                          <a:noFill/>
                        </a:ln>
                      </wps:spPr>
                      <wps:style>
                        <a:lnRef idx="0"/>
                        <a:fillRef idx="0"/>
                        <a:effectRef idx="0"/>
                        <a:fontRef idx="minor"/>
                      </wps:style>
                      <wps:txbx>
                        <w:txbxContent>
                          <w:p>
                            <w:pPr>
                              <w:pStyle w:val="Obsahrmce"/>
                              <w:jc w:val="center"/>
                              <w:rPr>
                                <w:color w:val="auto"/>
                              </w:rPr>
                            </w:pPr>
                            <w:r>
                              <w:rPr>
                                <w:b/>
                                <w:caps/>
                                <w:color w:val="auto"/>
                                <w:sz w:val="50"/>
                                <w:szCs w:val="5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SBOR DOBROVOLNÝCH HASIČŮ                        OČIHOV</w:t>
                            </w:r>
                          </w:p>
                        </w:txbxContent>
                      </wps:txbx>
                      <wps:bodyPr>
                        <a:prstTxWarp prst="textNoShape"/>
                        <a:noAutofit/>
                      </wps:bodyPr>
                    </wps:wsp>
                  </a:graphicData>
                </a:graphic>
              </wp:anchor>
            </w:drawing>
          </mc:Choice>
          <mc:Fallback>
            <w:pict>
              <v:rect id="shape_0" ID="Textové pole 1" stroked="f" style="position:absolute;margin-left:-2pt;margin-top:-9.45pt;width:439.75pt;height:73.45pt" wp14:anchorId="1F3CC922">
                <w10:wrap type="square"/>
                <v:fill on="false" o:detectmouseclick="t"/>
                <v:stroke color="#3465a4" joinstyle="round" endcap="flat"/>
                <v:textbox>
                  <w:txbxContent>
                    <w:p>
                      <w:pPr>
                        <w:pStyle w:val="Obsahrmce"/>
                        <w:jc w:val="center"/>
                        <w:rPr>
                          <w:color w:val="auto"/>
                        </w:rPr>
                      </w:pPr>
                      <w:r>
                        <w:rPr>
                          <w:b/>
                          <w:caps/>
                          <w:color w:val="auto"/>
                          <w:sz w:val="50"/>
                          <w:szCs w:val="5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SBOR DOBROVOLNÝCH HASIČŮ                        OČIHOV</w:t>
                      </w:r>
                    </w:p>
                  </w:txbxContent>
                </v:textbox>
              </v:rect>
            </w:pict>
          </mc:Fallback>
        </mc:AlternateContent>
        <w:drawing>
          <wp:anchor behindDoc="0" distT="0" distB="0" distL="0" distR="114300" simplePos="0" locked="0" layoutInCell="1" allowOverlap="1" relativeHeight="2">
            <wp:simplePos x="0" y="0"/>
            <wp:positionH relativeFrom="column">
              <wp:align>left</wp:align>
            </wp:positionH>
            <wp:positionV relativeFrom="paragraph">
              <wp:align>top</wp:align>
            </wp:positionV>
            <wp:extent cx="1466850" cy="1428750"/>
            <wp:effectExtent l="0" t="0" r="0" b="0"/>
            <wp:wrapSquare wrapText="bothSides"/>
            <wp:docPr id="3" name="Obrázek 1" descr="SDH Očihov -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SDH Očihov - znak.jpg"/>
                    <pic:cNvPicPr>
                      <a:picLocks noChangeAspect="1" noChangeArrowheads="1"/>
                    </pic:cNvPicPr>
                  </pic:nvPicPr>
                  <pic:blipFill>
                    <a:blip r:embed="rId2"/>
                    <a:stretch>
                      <a:fillRect/>
                    </a:stretch>
                  </pic:blipFill>
                  <pic:spPr bwMode="auto">
                    <a:xfrm>
                      <a:off x="0" y="0"/>
                      <a:ext cx="1466850" cy="1428750"/>
                    </a:xfrm>
                    <a:prstGeom prst="rect">
                      <a:avLst/>
                    </a:prstGeom>
                    <a:noFill/>
                    <a:ln w="9525">
                      <a:noFill/>
                      <a:miter lim="800000"/>
                      <a:headEnd/>
                      <a:tailEnd/>
                    </a:ln>
                  </pic:spPr>
                </pic:pic>
              </a:graphicData>
            </a:graphic>
          </wp:anchor>
        </w:drawing>
      </w:r>
      <w:r>
        <w:rPr/>
        <w:br/>
      </w:r>
    </w:p>
    <w:p>
      <w:pPr>
        <w:pStyle w:val="Normal"/>
        <w:rPr>
          <w:b/>
          <w:b/>
        </w:rPr>
      </w:pPr>
      <w:r>
        <w:rPr/>
      </w:r>
    </w:p>
    <w:p>
      <w:pPr>
        <w:pStyle w:val="Normal"/>
        <w:rPr>
          <w:b/>
          <w:b/>
        </w:rPr>
      </w:pPr>
      <w:r>
        <w:rPr>
          <w:b/>
        </w:rPr>
        <w:t>Zápis ze schůze SDH Očihov konané dne 12.10.2016</w:t>
      </w:r>
    </w:p>
    <w:p>
      <w:pPr>
        <w:pStyle w:val="Normal"/>
        <w:rPr/>
      </w:pPr>
      <w:r>
        <w:rPr/>
        <w:t>Přítomnost dle PL.</w:t>
      </w:r>
    </w:p>
    <w:p>
      <w:pPr>
        <w:pStyle w:val="Normal"/>
        <w:rPr/>
      </w:pPr>
      <w:r>
        <w:rPr/>
      </w:r>
    </w:p>
    <w:p>
      <w:pPr>
        <w:pStyle w:val="ListParagraph"/>
        <w:numPr>
          <w:ilvl w:val="0"/>
          <w:numId w:val="1"/>
        </w:numPr>
        <w:rPr/>
      </w:pPr>
      <w:r>
        <w:rPr/>
        <w:t>RTO Vroutek</w:t>
      </w:r>
    </w:p>
    <w:p>
      <w:pPr>
        <w:pStyle w:val="ListParagraph"/>
        <w:numPr>
          <w:ilvl w:val="0"/>
          <w:numId w:val="1"/>
        </w:numPr>
        <w:rPr/>
      </w:pPr>
      <w:r>
        <w:rPr/>
        <w:t>Kontrola činnosti a úkolů z předešlého období</w:t>
      </w:r>
    </w:p>
    <w:p>
      <w:pPr>
        <w:pStyle w:val="ListParagraph"/>
        <w:numPr>
          <w:ilvl w:val="0"/>
          <w:numId w:val="1"/>
        </w:numPr>
        <w:rPr/>
      </w:pPr>
      <w:r>
        <w:rPr/>
        <w:t>Hasičská pojišťovna</w:t>
      </w:r>
    </w:p>
    <w:p>
      <w:pPr>
        <w:pStyle w:val="ListParagraph"/>
        <w:numPr>
          <w:ilvl w:val="0"/>
          <w:numId w:val="1"/>
        </w:numPr>
        <w:rPr/>
      </w:pPr>
      <w:r>
        <w:rPr/>
        <w:t>Pramen Soběchleby</w:t>
      </w:r>
    </w:p>
    <w:p>
      <w:pPr>
        <w:pStyle w:val="ListParagraph"/>
        <w:numPr>
          <w:ilvl w:val="0"/>
          <w:numId w:val="1"/>
        </w:numPr>
        <w:rPr/>
      </w:pPr>
      <w:r>
        <w:rPr/>
        <w:t>EET</w:t>
      </w:r>
    </w:p>
    <w:p>
      <w:pPr>
        <w:pStyle w:val="ListParagraph"/>
        <w:numPr>
          <w:ilvl w:val="0"/>
          <w:numId w:val="1"/>
        </w:numPr>
        <w:rPr/>
      </w:pPr>
      <w:r>
        <w:rPr/>
        <w:t>Posvícení</w:t>
      </w:r>
    </w:p>
    <w:p>
      <w:pPr>
        <w:pStyle w:val="ListParagraph"/>
        <w:numPr>
          <w:ilvl w:val="0"/>
          <w:numId w:val="1"/>
        </w:numPr>
        <w:rPr/>
      </w:pPr>
      <w:r>
        <w:rPr/>
        <w:t>Výroční VVH</w:t>
      </w:r>
    </w:p>
    <w:p>
      <w:pPr>
        <w:pStyle w:val="Normal"/>
        <w:rPr/>
      </w:pPr>
      <w:r>
        <w:rPr/>
      </w:r>
    </w:p>
    <w:p>
      <w:pPr>
        <w:pStyle w:val="ListParagraph"/>
        <w:numPr>
          <w:ilvl w:val="0"/>
          <w:numId w:val="2"/>
        </w:numPr>
        <w:rPr/>
      </w:pPr>
      <w:r>
        <w:rPr/>
        <w:t>Dne 20.7.2016 zastupitelstvo obce Očihov schválilo odkoupení RT HP25 od SDH Vroutek ve vlastnictví města Vroutek. Po předešlé dohodě mělo být toto auto odkoupeno za max. Částku 60 000 Kč. Po převzetí cisterny se projevily podstatné závady na motoru a převodovce, které nebyly původními majiteli oznámeny.  Na základě těchto zjištění bylo vozidlo vráceno zpět do Vroutku.</w:t>
      </w:r>
    </w:p>
    <w:p>
      <w:pPr>
        <w:pStyle w:val="ListParagraph"/>
        <w:numPr>
          <w:ilvl w:val="0"/>
          <w:numId w:val="3"/>
        </w:numPr>
        <w:rPr/>
      </w:pPr>
      <w:r>
        <w:rPr/>
        <w:t>Kondiční jízdy – nejsou uskutečňovány</w:t>
      </w:r>
    </w:p>
    <w:p>
      <w:pPr>
        <w:pStyle w:val="ListParagraph"/>
        <w:numPr>
          <w:ilvl w:val="0"/>
          <w:numId w:val="3"/>
        </w:numPr>
        <w:rPr/>
      </w:pPr>
      <w:r>
        <w:rPr/>
        <w:t>Pořízení regálů do hasičárny – zajištěny, postaveny</w:t>
      </w:r>
    </w:p>
    <w:p>
      <w:pPr>
        <w:pStyle w:val="ListParagraph"/>
        <w:numPr>
          <w:ilvl w:val="0"/>
          <w:numId w:val="3"/>
        </w:numPr>
        <w:rPr/>
      </w:pPr>
      <w:r>
        <w:rPr/>
        <w:t>Natření vrat u hasičárny z venkovní strany – provedeno</w:t>
      </w:r>
    </w:p>
    <w:p>
      <w:pPr>
        <w:pStyle w:val="ListParagraph"/>
        <w:numPr>
          <w:ilvl w:val="0"/>
          <w:numId w:val="3"/>
        </w:numPr>
        <w:rPr/>
      </w:pPr>
      <w:r>
        <w:rPr/>
        <w:t>Kolaudace – uskutečněna</w:t>
      </w:r>
    </w:p>
    <w:p>
      <w:pPr>
        <w:pStyle w:val="ListParagraph"/>
        <w:numPr>
          <w:ilvl w:val="0"/>
          <w:numId w:val="3"/>
        </w:numPr>
        <w:rPr/>
      </w:pPr>
      <w:r>
        <w:rPr/>
        <w:t>Promítání historických fotek – uskutečněno</w:t>
      </w:r>
    </w:p>
    <w:p>
      <w:pPr>
        <w:pStyle w:val="ListParagraph"/>
        <w:numPr>
          <w:ilvl w:val="0"/>
          <w:numId w:val="3"/>
        </w:numPr>
        <w:rPr/>
      </w:pPr>
      <w:r>
        <w:rPr/>
        <w:t>Pořízení základního dílenského nářadí do hasičárny – provedeno</w:t>
      </w:r>
    </w:p>
    <w:p>
      <w:pPr>
        <w:pStyle w:val="ListParagraph"/>
        <w:numPr>
          <w:ilvl w:val="0"/>
          <w:numId w:val="3"/>
        </w:numPr>
        <w:rPr/>
      </w:pPr>
      <w:r>
        <w:rPr/>
        <w:t>Pořízení sady hadic pro mladé hasiče v hodnotě 11 000 Kč – zajištěno</w:t>
      </w:r>
    </w:p>
    <w:p>
      <w:pPr>
        <w:pStyle w:val="ListParagraph"/>
        <w:numPr>
          <w:ilvl w:val="0"/>
          <w:numId w:val="3"/>
        </w:numPr>
        <w:rPr/>
      </w:pPr>
      <w:r>
        <w:rPr/>
        <w:t>Hasičské muzeum – nezjištěno žádné v dosahu 100 km</w:t>
      </w:r>
    </w:p>
    <w:p>
      <w:pPr>
        <w:pStyle w:val="ListParagraph"/>
        <w:numPr>
          <w:ilvl w:val="0"/>
          <w:numId w:val="3"/>
        </w:numPr>
        <w:rPr/>
      </w:pPr>
      <w:r>
        <w:rPr/>
        <w:t>Výlet září – neuskutečněno</w:t>
      </w:r>
    </w:p>
    <w:p>
      <w:pPr>
        <w:pStyle w:val="ListParagraph"/>
        <w:numPr>
          <w:ilvl w:val="0"/>
          <w:numId w:val="3"/>
        </w:numPr>
        <w:rPr/>
      </w:pPr>
      <w:r>
        <w:rPr/>
        <w:t>Svěcení nové cisterny ve Vroutku – naše účast byla zajištěna</w:t>
      </w:r>
    </w:p>
    <w:p>
      <w:pPr>
        <w:pStyle w:val="ListParagraph"/>
        <w:numPr>
          <w:ilvl w:val="0"/>
          <w:numId w:val="2"/>
        </w:numPr>
        <w:rPr/>
      </w:pPr>
      <w:r>
        <w:rPr/>
        <w:t>Provize z hasičské pojišťovny za uzavřené pojistky</w:t>
      </w:r>
    </w:p>
    <w:p>
      <w:pPr>
        <w:pStyle w:val="ListParagraph"/>
        <w:numPr>
          <w:ilvl w:val="0"/>
          <w:numId w:val="2"/>
        </w:numPr>
        <w:rPr/>
      </w:pPr>
      <w:r>
        <w:rPr/>
        <w:t>Dohledání prameniště – zdroje vody pro požární nádrž v Soběchlebech a pokus o jeho vyčištění a zprovoznění</w:t>
      </w:r>
    </w:p>
    <w:p>
      <w:pPr>
        <w:pStyle w:val="ListParagraph"/>
        <w:numPr>
          <w:ilvl w:val="0"/>
          <w:numId w:val="2"/>
        </w:numPr>
        <w:rPr/>
      </w:pPr>
      <w:r>
        <w:rPr/>
        <w:t>EET – SH ČMS vyjednala pro SDH úlevu od pořízení EET. Pokud sbory neprovozují hostinskou činnost pro výdělek, nemusí EET pořizovat.</w:t>
      </w:r>
    </w:p>
    <w:p>
      <w:pPr>
        <w:pStyle w:val="ListParagraph"/>
        <w:numPr>
          <w:ilvl w:val="0"/>
          <w:numId w:val="2"/>
        </w:numPr>
        <w:rPr/>
      </w:pPr>
      <w:r>
        <w:rPr/>
        <w:t>Příprava posvícenské zábavy – zajištění tří tradičních cen pro slosování vstupenek. Cena vstupného 80 Kč.</w:t>
      </w:r>
    </w:p>
    <w:p>
      <w:pPr>
        <w:pStyle w:val="ListParagraph"/>
        <w:numPr>
          <w:ilvl w:val="0"/>
          <w:numId w:val="2"/>
        </w:numPr>
        <w:rPr/>
      </w:pPr>
      <w:bookmarkStart w:id="0" w:name="_GoBack"/>
      <w:bookmarkEnd w:id="0"/>
      <w:r>
        <w:rPr/>
        <w:t>Výroční valná hromada se bude konat 7.1.2017. Příprava zpráv o činnosti – V. Braniš, P. Blecha a o hospodaření – J. Branišová, R. Andrle</w:t>
      </w:r>
    </w:p>
    <w:p>
      <w:pPr>
        <w:pStyle w:val="Normal"/>
        <w:ind w:firstLine="360"/>
        <w:rPr/>
      </w:pPr>
      <w:r>
        <w:rPr/>
        <w:t>zapsal: Václav Braniš</w:t>
      </w:r>
    </w:p>
    <w:p>
      <w:pPr>
        <w:pStyle w:val="ListParagraph"/>
        <w:spacing w:before="0" w:after="200"/>
        <w:ind w:left="1440" w:hanging="0"/>
        <w:contextualSpacing/>
        <w:rPr/>
      </w:pPr>
      <w:r>
        <w:rPr/>
      </w:r>
    </w:p>
    <w:sectPr>
      <w:type w:val="nextPage"/>
      <w:pgSz w:w="11906" w:h="16838"/>
      <w:pgMar w:left="851" w:right="851" w:header="0" w:top="850" w:footer="0" w:bottom="39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cs-CZ" w:eastAsia="ja-JP"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ＭＳ 明朝" w:cs="" w:asciiTheme="minorHAnsi" w:cstheme="minorBidi" w:eastAsiaTheme="minorEastAsia" w:hAnsiTheme="minorHAnsi"/>
      <w:color w:val="auto"/>
      <w:sz w:val="22"/>
      <w:szCs w:val="22"/>
      <w:lang w:val="cs-CZ" w:eastAsia="ja-JP"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da6d67"/>
    <w:rPr>
      <w:rFonts w:ascii="Tahoma" w:hAnsi="Tahoma" w:cs="Tahoma"/>
      <w:sz w:val="16"/>
      <w:szCs w:val="16"/>
    </w:rPr>
  </w:style>
  <w:style w:type="character" w:styleId="TextpoznpodarouChar" w:customStyle="1">
    <w:name w:val="Text pozn. pod čarou Char"/>
    <w:basedOn w:val="DefaultParagraphFont"/>
    <w:link w:val="Textpoznpodarou"/>
    <w:uiPriority w:val="99"/>
    <w:qFormat/>
    <w:rsid w:val="001d3a05"/>
    <w:rPr>
      <w:sz w:val="20"/>
      <w:szCs w:val="20"/>
      <w:lang w:val="en-US"/>
    </w:rPr>
  </w:style>
  <w:style w:type="character" w:styleId="SubtleEmphasis">
    <w:name w:val="Subtle Emphasis"/>
    <w:basedOn w:val="DefaultParagraphFont"/>
    <w:uiPriority w:val="19"/>
    <w:qFormat/>
    <w:rsid w:val="001d3a05"/>
    <w:rPr>
      <w:i/>
      <w:iCs/>
      <w:color w:val="7F7F7F" w:themeColor="text1" w:themeTint="80"/>
    </w:rPr>
  </w:style>
  <w:style w:type="character" w:styleId="ZhlavChar" w:customStyle="1">
    <w:name w:val="Záhlaví Char"/>
    <w:basedOn w:val="DefaultParagraphFont"/>
    <w:link w:val="Zhlav"/>
    <w:uiPriority w:val="99"/>
    <w:qFormat/>
    <w:rsid w:val="00c07fe9"/>
    <w:rPr/>
  </w:style>
  <w:style w:type="character" w:styleId="ZpatChar" w:customStyle="1">
    <w:name w:val="Zápatí Char"/>
    <w:basedOn w:val="DefaultParagraphFont"/>
    <w:link w:val="Zpat"/>
    <w:uiPriority w:val="99"/>
    <w:qFormat/>
    <w:rsid w:val="00c07fe9"/>
    <w:rPr/>
  </w:style>
  <w:style w:type="character" w:styleId="ListLabel1">
    <w:name w:val="ListLabel 1"/>
    <w:qFormat/>
    <w:rPr>
      <w:rFonts w:eastAsia="ＭＳ 明朝" w:cs="Calibri"/>
    </w:rPr>
  </w:style>
  <w:style w:type="character" w:styleId="ListLabel2">
    <w:name w:val="ListLabel 2"/>
    <w:qFormat/>
    <w:rPr>
      <w:rFonts w:cs="Courier New"/>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BalloonText">
    <w:name w:val="Balloon Text"/>
    <w:basedOn w:val="Normal"/>
    <w:link w:val="TextbublinyChar"/>
    <w:uiPriority w:val="99"/>
    <w:semiHidden/>
    <w:unhideWhenUsed/>
    <w:qFormat/>
    <w:rsid w:val="00da6d67"/>
    <w:pPr>
      <w:spacing w:lineRule="auto" w:line="240" w:before="0" w:after="0"/>
    </w:pPr>
    <w:rPr>
      <w:rFonts w:ascii="Tahoma" w:hAnsi="Tahoma" w:cs="Tahoma"/>
      <w:sz w:val="16"/>
      <w:szCs w:val="16"/>
    </w:rPr>
  </w:style>
  <w:style w:type="paragraph" w:styleId="ListParagraph">
    <w:name w:val="List Paragraph"/>
    <w:basedOn w:val="Normal"/>
    <w:uiPriority w:val="34"/>
    <w:qFormat/>
    <w:rsid w:val="00824fce"/>
    <w:pPr>
      <w:spacing w:before="0" w:after="200"/>
      <w:ind w:left="720" w:hanging="0"/>
      <w:contextualSpacing/>
    </w:pPr>
    <w:rPr/>
  </w:style>
  <w:style w:type="paragraph" w:styleId="DecimalAligned" w:customStyle="1">
    <w:name w:val="Decimal Aligned"/>
    <w:basedOn w:val="Normal"/>
    <w:uiPriority w:val="40"/>
    <w:qFormat/>
    <w:rsid w:val="001d3a05"/>
    <w:pPr>
      <w:tabs>
        <w:tab w:val="decimal" w:pos="360" w:leader="none"/>
      </w:tabs>
    </w:pPr>
    <w:rPr>
      <w:rFonts w:eastAsia="Calibri" w:eastAsiaTheme="minorHAnsi"/>
      <w:lang w:val="en-US"/>
    </w:rPr>
  </w:style>
  <w:style w:type="paragraph" w:styleId="Footnotetext">
    <w:name w:val="footnote text"/>
    <w:basedOn w:val="Normal"/>
    <w:link w:val="TextpoznpodarouChar"/>
    <w:uiPriority w:val="99"/>
    <w:unhideWhenUsed/>
    <w:qFormat/>
    <w:rsid w:val="001d3a05"/>
    <w:pPr>
      <w:spacing w:lineRule="auto" w:line="240" w:before="0" w:after="0"/>
    </w:pPr>
    <w:rPr>
      <w:sz w:val="20"/>
      <w:szCs w:val="20"/>
      <w:lang w:val="en-US"/>
    </w:rPr>
  </w:style>
  <w:style w:type="paragraph" w:styleId="Zhlav">
    <w:name w:val="Záhlaví"/>
    <w:basedOn w:val="Normal"/>
    <w:link w:val="ZhlavChar"/>
    <w:uiPriority w:val="99"/>
    <w:unhideWhenUsed/>
    <w:rsid w:val="00c07fe9"/>
    <w:pPr>
      <w:tabs>
        <w:tab w:val="center" w:pos="4536" w:leader="none"/>
        <w:tab w:val="right" w:pos="9072" w:leader="none"/>
      </w:tabs>
      <w:spacing w:lineRule="auto" w:line="240" w:before="0" w:after="0"/>
    </w:pPr>
    <w:rPr/>
  </w:style>
  <w:style w:type="paragraph" w:styleId="Zpat">
    <w:name w:val="Zápatí"/>
    <w:basedOn w:val="Normal"/>
    <w:link w:val="ZpatChar"/>
    <w:uiPriority w:val="99"/>
    <w:unhideWhenUsed/>
    <w:rsid w:val="00c07fe9"/>
    <w:pPr>
      <w:tabs>
        <w:tab w:val="center" w:pos="4536" w:leader="none"/>
        <w:tab w:val="right" w:pos="9072" w:leader="none"/>
      </w:tabs>
      <w:spacing w:lineRule="auto" w:line="240" w:before="0" w:after="0"/>
    </w:pPr>
    <w:rPr/>
  </w:style>
  <w:style w:type="paragraph" w:styleId="Obsahrmce">
    <w:name w:val="Obsah rámce"/>
    <w:basedOn w:val="Normal"/>
    <w:qFormat/>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Svtlstnovnzvraznn1">
    <w:name w:val="Light Shading Accent 1"/>
    <w:basedOn w:val="Normlntabulka"/>
    <w:uiPriority w:val="60"/>
    <w:rsid w:val="001d3a05"/>
    <w:pPr>
      <w:spacing w:after="0" w:line="240" w:lineRule="auto"/>
    </w:pPr>
    <w:rPr>
      <w:lang w:val="en-US"/>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color w:val="365F91" w:themeColor="accent1" w:themeShade="bf"/>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color w:val="365F91" w:themeColor="accent1" w:themeShade="bf"/>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color w:val="365F91" w:themeColor="accent1" w:themeShade="bf"/>
      </w:rPr>
      <w:tblPr/>
    </w:tblStylePr>
    <w:tblStylePr w:type="lastCol">
      <w:rPr>
        <w:b/>
        <w:bCs/>
        <w:color w:val="365F91" w:themeColor="accent1" w:themeShade="bf"/>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katabulky">
    <w:name w:val="Table Grid"/>
    <w:basedOn w:val="Normlntabulka"/>
    <w:uiPriority w:val="59"/>
    <w:rsid w:val="009f2f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6194-AE66-4D12-B3F2-31F0147F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LibreOffice/4.4.1.2$Windows_x86 LibreOffice_project/45e2de17089c24a1fa810c8f975a7171ba4cd432</Application>
  <Paragraphs>28</Paragraphs>
  <Company>AGC EUROPE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2017-01-02T14:38:00Z</dcterms:created>
  <dc:creator>Braniš Václav</dc:creator>
  <dc:language>cs-CZ</dc:language>
  <cp:lastPrinted>2013-07-08T07:39:00Z</cp:lastPrinted>
  <dcterms:modified xsi:type="dcterms:W3CDTF">2017-01-24T21:58:14Z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AGC EUROPE 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